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B2350"/>
        </w:rPr>
        <w:t>Contrato de encargo de tratamiento de datos personales · Protocola</w:t>
      </w:r>
    </w:p>
    <w:p>
      <w:r>
        <w:rPr>
          <w:b/>
        </w:rPr>
        <w:t>Modelo sujeto a revisión legal.</w:t>
      </w:r>
      <w:r>
        <w:t xml:space="preserve"> Protocola lo publica para que el colegio y su abogado lo revisen antes de contratar. La versión que se firma es la que acuerden las partes.</w:t>
      </w:r>
    </w:p>
    <w:p>
      <w:r>
        <w:rPr>
          <w:b/>
        </w:rPr>
        <w:t>Borrador 0.9, 23-09-2026 (actualizado el 30-09-2026: acceso de BigCode, plazos nuevos y correo), para revisión del abogado.</w:t>
      </w:r>
      <w:r>
        <w:t xml:space="preserve"> Responde a los hallazgos H-12 y H-13 de la auditoría Ley 21.719. Describe lo que Protocola hace hoy y marca con </w:t>
      </w:r>
      <w:r>
        <w:rPr>
          <w:b/>
        </w:rPr>
        <w:t>[al entrar en producción]</w:t>
      </w:r>
      <w:r>
        <w:t xml:space="preserve"> lo que se compromete para el servidor de producción, que aún no existe; donde el texto dice </w:t>
      </w:r>
      <w:r>
        <w:rPr>
          <w:b/>
        </w:rPr>
        <w:t>[a definir]</w:t>
      </w:r>
      <w:r>
        <w:t>, decide el abogado. Se firma como anexo del contrato de servicio con cada colegio o sostenedor.</w:t>
      </w:r>
    </w:p>
    <w:p>
      <w:pPr>
        <w:pStyle w:val="Heading2"/>
      </w:pPr>
      <w:r>
        <w:rPr>
          <w:color w:val="0B2350"/>
        </w:rPr>
        <w:t>Partes</w:t>
      </w:r>
    </w:p>
    <w:p>
      <w:pPr>
        <w:pStyle w:val="ListBullet"/>
      </w:pPr>
      <w:r>
        <w:rPr>
          <w:b/>
        </w:rPr>
        <w:t>Responsable:</w:t>
      </w:r>
      <w:r>
        <w:t xml:space="preserve"> [razón social del sostenedor], RUT [ ], representado por [nombre y cargo], en adelante "el Colegio". Si el sostenedor tiene varios colegios, se listan en el Anexo D.</w:t>
      </w:r>
    </w:p>
    <w:p>
      <w:pPr>
        <w:pStyle w:val="ListBullet"/>
      </w:pPr>
      <w:r>
        <w:rPr>
          <w:b/>
        </w:rPr>
        <w:t>Encargado:</w:t>
      </w:r>
      <w:r>
        <w:t xml:space="preserve"> BigCode SpA, RUT 76.965.143-8, domiciliada en Santiago de Chile, representada por [nombre], en adelante "BigCode".</w:t>
      </w:r>
    </w:p>
    <w:p>
      <w:pPr>
        <w:pStyle w:val="Heading2"/>
      </w:pPr>
      <w:r>
        <w:rPr>
          <w:color w:val="0B2350"/>
        </w:rPr>
        <w:t>1. Objeto</w:t>
      </w:r>
    </w:p>
    <w:p>
      <w:r>
        <w:t>BigCode trata datos personales por cuenta del Colegio solo para prestar el servicio Protocola: tramitar los casos de convivencia escolar de la Ley 21.809, recibir denuncias por el canal, redactar actas, notificar, generar el expediente y conservarlo y anonimizarlo al vencer su plazo. BigCode no trata esos datos para fines propios, no los vende ni los usa para publicidad o para entrenar modelos.</w:t>
      </w:r>
    </w:p>
    <w:p>
      <w:pPr>
        <w:pStyle w:val="Heading2"/>
      </w:pPr>
      <w:r>
        <w:rPr>
          <w:color w:val="0B2350"/>
        </w:rPr>
        <w:t>2. Datos y titulares</w:t>
      </w:r>
    </w:p>
    <w:tbl>
      <w:tblPr>
        <w:tblStyle w:val="TableGrid"/>
        <w:tblW w:type="auto" w:w="0"/>
        <w:tblLook w:firstColumn="1" w:firstRow="1" w:lastColumn="0" w:lastRow="0" w:noHBand="0" w:noVBand="1" w:val="04A0"/>
      </w:tblPr>
      <w:tblGrid>
        <w:gridCol w:w="4320"/>
        <w:gridCol w:w="4320"/>
      </w:tblGrid>
      <w:tr>
        <w:tc>
          <w:tcPr>
            <w:tcW w:type="dxa" w:w="4320"/>
          </w:tcPr>
          <w:p>
            <w:r/>
            <w:r>
              <w:rPr>
                <w:b/>
                <w:sz w:val="17"/>
              </w:rPr>
              <w:t>Titulares</w:t>
            </w:r>
          </w:p>
        </w:tc>
        <w:tc>
          <w:tcPr>
            <w:tcW w:type="dxa" w:w="4320"/>
          </w:tcPr>
          <w:p>
            <w:r/>
            <w:r>
              <w:rPr>
                <w:b/>
                <w:sz w:val="17"/>
              </w:rPr>
              <w:t>Datos</w:t>
            </w:r>
          </w:p>
        </w:tc>
      </w:tr>
      <w:tr>
        <w:tc>
          <w:tcPr>
            <w:tcW w:type="dxa" w:w="4320"/>
          </w:tcPr>
          <w:p>
            <w:r>
              <w:rPr>
                <w:sz w:val="17"/>
              </w:rPr>
            </w:r>
            <w:r>
              <w:rPr>
                <w:sz w:val="17"/>
              </w:rPr>
              <w:t>Estudiantes que participan en un caso (niños, niñas y adolescentes)</w:t>
            </w:r>
          </w:p>
        </w:tc>
        <w:tc>
          <w:tcPr>
            <w:tcW w:type="dxa" w:w="4320"/>
          </w:tcPr>
          <w:p>
            <w:r>
              <w:rPr>
                <w:sz w:val="17"/>
              </w:rPr>
            </w:r>
            <w:r>
              <w:rPr>
                <w:sz w:val="17"/>
              </w:rPr>
              <w:t>Nombre, curso, RUN opcional; relatos que pueden incluir datos sensibles (salud, necesidades educativas especiales, abuso o delitos)</w:t>
            </w:r>
          </w:p>
        </w:tc>
      </w:tr>
      <w:tr>
        <w:tc>
          <w:tcPr>
            <w:tcW w:type="dxa" w:w="4320"/>
          </w:tcPr>
          <w:p>
            <w:r>
              <w:rPr>
                <w:sz w:val="17"/>
              </w:rPr>
            </w:r>
            <w:r>
              <w:rPr>
                <w:sz w:val="17"/>
              </w:rPr>
              <w:t>Apoderados</w:t>
            </w:r>
          </w:p>
        </w:tc>
        <w:tc>
          <w:tcPr>
            <w:tcW w:type="dxa" w:w="4320"/>
          </w:tcPr>
          <w:p>
            <w:r>
              <w:rPr>
                <w:sz w:val="17"/>
              </w:rPr>
            </w:r>
            <w:r>
              <w:rPr>
                <w:sz w:val="17"/>
              </w:rPr>
              <w:t>Nombre y correo</w:t>
            </w:r>
          </w:p>
        </w:tc>
      </w:tr>
      <w:tr>
        <w:tc>
          <w:tcPr>
            <w:tcW w:type="dxa" w:w="4320"/>
          </w:tcPr>
          <w:p>
            <w:r>
              <w:rPr>
                <w:sz w:val="17"/>
              </w:rPr>
            </w:r>
            <w:r>
              <w:rPr>
                <w:sz w:val="17"/>
              </w:rPr>
              <w:t>Funcionarios del colegio</w:t>
            </w:r>
          </w:p>
        </w:tc>
        <w:tc>
          <w:tcPr>
            <w:tcW w:type="dxa" w:w="4320"/>
          </w:tcPr>
          <w:p>
            <w:r>
              <w:rPr>
                <w:sz w:val="17"/>
              </w:rPr>
            </w:r>
            <w:r>
              <w:rPr>
                <w:sz w:val="17"/>
              </w:rPr>
              <w:t>Nombre, cargo, correo; en las cuentas, además, el registro de accesos con su IP</w:t>
            </w:r>
          </w:p>
        </w:tc>
      </w:tr>
      <w:tr>
        <w:tc>
          <w:tcPr>
            <w:tcW w:type="dxa" w:w="4320"/>
          </w:tcPr>
          <w:p>
            <w:r>
              <w:rPr>
                <w:sz w:val="17"/>
              </w:rPr>
            </w:r>
            <w:r>
              <w:rPr>
                <w:sz w:val="17"/>
              </w:rPr>
              <w:t>Denunciantes</w:t>
            </w:r>
          </w:p>
        </w:tc>
        <w:tc>
          <w:tcPr>
            <w:tcW w:type="dxa" w:w="4320"/>
          </w:tcPr>
          <w:p>
            <w:r>
              <w:rPr>
                <w:sz w:val="17"/>
              </w:rPr>
            </w:r>
            <w:r>
              <w:rPr>
                <w:sz w:val="17"/>
              </w:rPr>
              <w:t>Relato; nombre y correo solo si denuncian con reserva</w:t>
            </w:r>
          </w:p>
        </w:tc>
      </w:tr>
      <w:tr>
        <w:tc>
          <w:tcPr>
            <w:tcW w:type="dxa" w:w="4320"/>
          </w:tcPr>
          <w:p>
            <w:r>
              <w:rPr>
                <w:sz w:val="17"/>
              </w:rPr>
            </w:r>
            <w:r>
              <w:rPr>
                <w:sz w:val="17"/>
              </w:rPr>
              <w:t>Personas entrevistadas</w:t>
            </w:r>
          </w:p>
        </w:tc>
        <w:tc>
          <w:tcPr>
            <w:tcW w:type="dxa" w:w="4320"/>
          </w:tcPr>
          <w:p>
            <w:r>
              <w:rPr>
                <w:sz w:val="17"/>
              </w:rPr>
            </w:r>
            <w:r>
              <w:rPr>
                <w:sz w:val="17"/>
              </w:rPr>
              <w:t>Grabación y transcripción de la entrevista, hasta que se firma el acta</w:t>
            </w:r>
          </w:p>
        </w:tc>
      </w:tr>
    </w:tbl>
    <w:p/>
    <w:p>
      <w:r>
        <w:t>No se importa la nómina de estudiantes: una persona entra al sistema solo si participa en un caso.</w:t>
      </w:r>
    </w:p>
    <w:p>
      <w:pPr>
        <w:pStyle w:val="Heading2"/>
      </w:pPr>
      <w:r>
        <w:rPr>
          <w:color w:val="0B2350"/>
        </w:rPr>
        <w:t>3. Instrucciones del Colegio</w:t>
      </w:r>
    </w:p>
    <w:p>
      <w:pPr>
        <w:pStyle w:val="ListNumber"/>
      </w:pPr>
      <w:r>
        <w:t>BigCode trata los datos solo según este contrato y las decisiones que el Colegio toma en Protocola: abrir casos, asignar participantes, autorizar la redacción con IA, bloquear o suprimir datos de una persona.</w:t>
      </w:r>
    </w:p>
    <w:p>
      <w:pPr>
        <w:pStyle w:val="ListNumber"/>
      </w:pPr>
      <w:r>
        <w:t>Si una instrucción le parece contraria a la ley, BigCode lo avisa antes de ejecutarla.</w:t>
      </w:r>
    </w:p>
    <w:p>
      <w:pPr>
        <w:pStyle w:val="ListNumber"/>
      </w:pPr>
      <w:r>
        <w:t>Los plazos de conservación son los de la cláusula 9. El Colegio puede pedir plazos distintos por escrito.</w:t>
      </w:r>
    </w:p>
    <w:p>
      <w:pPr>
        <w:pStyle w:val="Heading2"/>
      </w:pPr>
      <w:r>
        <w:rPr>
          <w:color w:val="0B2350"/>
        </w:rPr>
        <w:t>4. Confidencialidad y personal</w:t>
      </w:r>
    </w:p>
    <w:p>
      <w:r>
        <w:t xml:space="preserve">Solo acceden a los datos las personas de BigCode que lo necesitan para operar o dar soporte, con compromiso de confidencialidad firmado </w:t>
      </w:r>
      <w:r>
        <w:rPr>
          <w:b/>
        </w:rPr>
        <w:t>[a definir: el compromiso aún no se firma]</w:t>
      </w:r>
      <w:r>
        <w:t xml:space="preserve">. El acceso de soporte a un caso se hace solo a pedido del Colegio y queda registrado </w:t>
      </w:r>
      <w:r>
        <w:rPr>
          <w:b/>
        </w:rPr>
        <w:t>[a definir: el registro del acceso de soporte aún no existe]</w:t>
      </w:r>
      <w:r>
        <w:t>.</w:t>
      </w:r>
    </w:p>
    <w:p>
      <w:r>
        <w:t>Para operar el servicio, el equipo de BigCode usa un panel propio que muestra solo cifras por colegio (personas activas, último ingreso, casos en tramitación, etapas vencidas) y eventos técnicos (ingresos, cambios del equipo y de la cuenta, autorización de la IA, importaciones), sin nombres de involucrados, títulos, relatos, correos ni quién hizo cada cosa.</w:t>
      </w:r>
    </w:p>
    <w:p>
      <w:pPr>
        <w:pStyle w:val="Heading2"/>
      </w:pPr>
      <w:r>
        <w:rPr>
          <w:color w:val="0B2350"/>
        </w:rPr>
        <w:t>5. Seguridad</w:t>
      </w:r>
    </w:p>
    <w:p>
      <w:r>
        <w:t>BigCode aplica las medidas del Anexo A y las mantiene actualizadas. No las reduce sin avisar al Colegio.</w:t>
      </w:r>
    </w:p>
    <w:p>
      <w:pPr>
        <w:pStyle w:val="Heading2"/>
      </w:pPr>
      <w:r>
        <w:rPr>
          <w:color w:val="0B2350"/>
        </w:rPr>
        <w:t>6. Subencargados</w:t>
      </w:r>
    </w:p>
    <w:p>
      <w:pPr>
        <w:pStyle w:val="ListNumber"/>
      </w:pPr>
      <w:r>
        <w:t>El Colegio autoriza a los subencargados del Anexo B, en las condiciones que ahí se indican.</w:t>
      </w:r>
    </w:p>
    <w:p>
      <w:pPr>
        <w:pStyle w:val="ListNumber"/>
      </w:pPr>
      <w:r>
        <w:t>El subencargado de IA solo recibe datos de los colegios cuya dirección autorizó la redacción con IA en la Configuración de Protocola. El Colegio puede retirar esa autorización en cualquier momento, con efecto inmediato.</w:t>
      </w:r>
    </w:p>
    <w:p>
      <w:pPr>
        <w:pStyle w:val="ListNumber"/>
      </w:pPr>
      <w:r>
        <w:t xml:space="preserve">BigCode avisa con al menos </w:t>
      </w:r>
      <w:r>
        <w:rPr>
          <w:b/>
        </w:rPr>
        <w:t>15 días corridos [a definir]</w:t>
      </w:r>
      <w:r>
        <w:t xml:space="preserve"> cualquier subencargado nuevo o cambio. El Colegio puede oponerse con fundamento; si no hay alternativa, puede terminar el servicio sin costo.</w:t>
      </w:r>
    </w:p>
    <w:p>
      <w:pPr>
        <w:pStyle w:val="ListNumber"/>
      </w:pPr>
      <w:r>
        <w:t>BigCode exige a cada subencargado obligaciones equivalentes a las de este contrato y responde por ellos.</w:t>
      </w:r>
    </w:p>
    <w:p>
      <w:pPr>
        <w:pStyle w:val="Heading2"/>
      </w:pPr>
      <w:r>
        <w:rPr>
          <w:color w:val="0B2350"/>
        </w:rPr>
        <w:t>7. Transferencias internacionales</w:t>
      </w:r>
    </w:p>
    <w:p>
      <w:r>
        <w:t>Los datos se alojan fuera de Chile en los términos del Anexo C. BigCode no transfiere datos a otros países sin avisar al Colegio con la anticipación de la cláusula 6.3.</w:t>
      </w:r>
    </w:p>
    <w:p>
      <w:pPr>
        <w:pStyle w:val="Heading2"/>
      </w:pPr>
      <w:r>
        <w:rPr>
          <w:color w:val="0B2350"/>
        </w:rPr>
        <w:t>8. Derechos de los titulares</w:t>
      </w:r>
    </w:p>
    <w:p>
      <w:pPr>
        <w:pStyle w:val="ListNumber"/>
      </w:pPr>
      <w:r>
        <w:t>Las solicitudes de acceso, rectificación, supresión, oposición, portabilidad y bloqueo se dirigen al Colegio, que las responde.</w:t>
      </w:r>
    </w:p>
    <w:p>
      <w:pPr>
        <w:pStyle w:val="ListNumber"/>
      </w:pPr>
      <w:r>
        <w:t>Protocola le entrega las herramientas: registro de solicitudes con plazo de respuesta, exportación de los datos de una persona en PDF y JSON, rectificación, bloqueo y supresión anticipada.</w:t>
      </w:r>
    </w:p>
    <w:p>
      <w:pPr>
        <w:pStyle w:val="ListNumber"/>
      </w:pPr>
      <w:r>
        <w:t xml:space="preserve">Si una solicitud llega a BigCode, la reenvía al Colegio dentro de </w:t>
      </w:r>
      <w:r>
        <w:rPr>
          <w:b/>
        </w:rPr>
        <w:t>2 días hábiles [a definir]</w:t>
      </w:r>
      <w:r>
        <w:t xml:space="preserve"> sin responderla.</w:t>
      </w:r>
    </w:p>
    <w:p>
      <w:pPr>
        <w:pStyle w:val="ListNumber"/>
      </w:pPr>
      <w:r>
        <w:t xml:space="preserve">BigCode apoya al Colegio cuando la herramienta no alcanza, dentro de </w:t>
      </w:r>
      <w:r>
        <w:rPr>
          <w:b/>
        </w:rPr>
        <w:t>5 días hábiles [a definir]</w:t>
      </w:r>
      <w:r>
        <w:t>.</w:t>
      </w:r>
    </w:p>
    <w:p>
      <w:pPr>
        <w:pStyle w:val="Heading2"/>
      </w:pPr>
      <w:r>
        <w:rPr>
          <w:color w:val="0B2350"/>
        </w:rPr>
        <w:t>9. Conservación y anonimización</w:t>
      </w:r>
    </w:p>
    <w:tbl>
      <w:tblPr>
        <w:tblStyle w:val="TableGrid"/>
        <w:tblW w:type="auto" w:w="0"/>
        <w:tblLook w:firstColumn="1" w:firstRow="1" w:lastColumn="0" w:lastRow="0" w:noHBand="0" w:noVBand="1" w:val="04A0"/>
      </w:tblPr>
      <w:tblGrid>
        <w:gridCol w:w="4320"/>
        <w:gridCol w:w="4320"/>
      </w:tblGrid>
      <w:tr>
        <w:tc>
          <w:tcPr>
            <w:tcW w:type="dxa" w:w="4320"/>
          </w:tcPr>
          <w:p>
            <w:r/>
            <w:r>
              <w:rPr>
                <w:b/>
                <w:sz w:val="17"/>
              </w:rPr>
              <w:t>Dato</w:t>
            </w:r>
          </w:p>
        </w:tc>
        <w:tc>
          <w:tcPr>
            <w:tcW w:type="dxa" w:w="4320"/>
          </w:tcPr>
          <w:p>
            <w:r/>
            <w:r>
              <w:rPr>
                <w:b/>
                <w:sz w:val="17"/>
              </w:rPr>
              <w:t>Plazo</w:t>
            </w:r>
          </w:p>
        </w:tc>
      </w:tr>
      <w:tr>
        <w:tc>
          <w:tcPr>
            <w:tcW w:type="dxa" w:w="4320"/>
          </w:tcPr>
          <w:p>
            <w:r>
              <w:rPr>
                <w:sz w:val="17"/>
              </w:rPr>
            </w:r>
            <w:r>
              <w:rPr>
                <w:sz w:val="17"/>
              </w:rPr>
              <w:t>Caso cerrado</w:t>
            </w:r>
          </w:p>
        </w:tc>
        <w:tc>
          <w:tcPr>
            <w:tcW w:type="dxa" w:w="4320"/>
          </w:tcPr>
          <w:p>
            <w:r>
              <w:rPr>
                <w:sz w:val="17"/>
              </w:rPr>
            </w:r>
            <w:r>
              <w:rPr>
                <w:sz w:val="17"/>
              </w:rPr>
              <w:t>Lo último entre 24 meses desde el cierre y el egreso estimado de cada estudiante (24 meses si se retiró); luego se anonimiza</w:t>
            </w:r>
          </w:p>
        </w:tc>
      </w:tr>
      <w:tr>
        <w:tc>
          <w:tcPr>
            <w:tcW w:type="dxa" w:w="4320"/>
          </w:tcPr>
          <w:p>
            <w:r>
              <w:rPr>
                <w:sz w:val="17"/>
              </w:rPr>
            </w:r>
            <w:r>
              <w:rPr>
                <w:sz w:val="17"/>
              </w:rPr>
              <w:t>Denuncia desestimada o no convertida en caso</w:t>
            </w:r>
          </w:p>
        </w:tc>
        <w:tc>
          <w:tcPr>
            <w:tcW w:type="dxa" w:w="4320"/>
          </w:tcPr>
          <w:p>
            <w:r>
              <w:rPr>
                <w:sz w:val="17"/>
              </w:rPr>
            </w:r>
            <w:r>
              <w:rPr>
                <w:sz w:val="17"/>
              </w:rPr>
              <w:t>24 meses; luego se anonimiza</w:t>
            </w:r>
          </w:p>
        </w:tc>
      </w:tr>
      <w:tr>
        <w:tc>
          <w:tcPr>
            <w:tcW w:type="dxa" w:w="4320"/>
          </w:tcPr>
          <w:p>
            <w:r>
              <w:rPr>
                <w:sz w:val="17"/>
              </w:rPr>
            </w:r>
            <w:r>
              <w:rPr>
                <w:sz w:val="17"/>
              </w:rPr>
              <w:t>Grabación y transcripción de un acta</w:t>
            </w:r>
          </w:p>
        </w:tc>
        <w:tc>
          <w:tcPr>
            <w:tcW w:type="dxa" w:w="4320"/>
          </w:tcPr>
          <w:p>
            <w:r>
              <w:rPr>
                <w:sz w:val="17"/>
              </w:rPr>
            </w:r>
            <w:r>
              <w:rPr>
                <w:sz w:val="17"/>
              </w:rPr>
              <w:t>Hasta la firma; sin firma, 30 días</w:t>
            </w:r>
          </w:p>
        </w:tc>
      </w:tr>
      <w:tr>
        <w:tc>
          <w:tcPr>
            <w:tcW w:type="dxa" w:w="4320"/>
          </w:tcPr>
          <w:p>
            <w:r>
              <w:rPr>
                <w:sz w:val="17"/>
              </w:rPr>
            </w:r>
            <w:r>
              <w:rPr>
                <w:sz w:val="17"/>
              </w:rPr>
              <w:t>Correos enviados por el sistema</w:t>
            </w:r>
          </w:p>
        </w:tc>
        <w:tc>
          <w:tcPr>
            <w:tcW w:type="dxa" w:w="4320"/>
          </w:tcPr>
          <w:p>
            <w:r>
              <w:rPr>
                <w:sz w:val="17"/>
              </w:rPr>
            </w:r>
            <w:r>
              <w:rPr>
                <w:sz w:val="17"/>
              </w:rPr>
              <w:t>90 días</w:t>
            </w:r>
          </w:p>
        </w:tc>
      </w:tr>
      <w:tr>
        <w:tc>
          <w:tcPr>
            <w:tcW w:type="dxa" w:w="4320"/>
          </w:tcPr>
          <w:p>
            <w:r>
              <w:rPr>
                <w:sz w:val="17"/>
              </w:rPr>
            </w:r>
            <w:r>
              <w:rPr>
                <w:sz w:val="17"/>
              </w:rPr>
              <w:t>Alertas de la campana</w:t>
            </w:r>
          </w:p>
        </w:tc>
        <w:tc>
          <w:tcPr>
            <w:tcW w:type="dxa" w:w="4320"/>
          </w:tcPr>
          <w:p>
            <w:r>
              <w:rPr>
                <w:sz w:val="17"/>
              </w:rPr>
            </w:r>
            <w:r>
              <w:rPr>
                <w:sz w:val="17"/>
              </w:rPr>
              <w:t>90 días</w:t>
            </w:r>
          </w:p>
        </w:tc>
      </w:tr>
      <w:tr>
        <w:tc>
          <w:tcPr>
            <w:tcW w:type="dxa" w:w="4320"/>
          </w:tcPr>
          <w:p>
            <w:r>
              <w:rPr>
                <w:sz w:val="17"/>
              </w:rPr>
            </w:r>
            <w:r>
              <w:rPr>
                <w:sz w:val="17"/>
              </w:rPr>
              <w:t>Invitaciones al equipo</w:t>
            </w:r>
          </w:p>
        </w:tc>
        <w:tc>
          <w:tcPr>
            <w:tcW w:type="dxa" w:w="4320"/>
          </w:tcPr>
          <w:p>
            <w:r>
              <w:rPr>
                <w:sz w:val="17"/>
              </w:rPr>
            </w:r>
            <w:r>
              <w:rPr>
                <w:sz w:val="17"/>
              </w:rPr>
              <w:t>30 días desde que vencen, aceptadas o no</w:t>
            </w:r>
          </w:p>
        </w:tc>
      </w:tr>
      <w:tr>
        <w:tc>
          <w:tcPr>
            <w:tcW w:type="dxa" w:w="4320"/>
          </w:tcPr>
          <w:p>
            <w:r>
              <w:rPr>
                <w:sz w:val="17"/>
              </w:rPr>
            </w:r>
            <w:r>
              <w:rPr>
                <w:sz w:val="17"/>
              </w:rPr>
              <w:t>Solicitudes de cotización (prospectos)</w:t>
            </w:r>
          </w:p>
        </w:tc>
        <w:tc>
          <w:tcPr>
            <w:tcW w:type="dxa" w:w="4320"/>
          </w:tcPr>
          <w:p>
            <w:r>
              <w:rPr>
                <w:sz w:val="17"/>
              </w:rPr>
            </w:r>
            <w:r>
              <w:rPr>
                <w:sz w:val="17"/>
              </w:rPr>
              <w:t>24 meses</w:t>
            </w:r>
          </w:p>
        </w:tc>
      </w:tr>
    </w:tbl>
    <w:p/>
    <w:p>
      <w:pPr>
        <w:pStyle w:val="Heading2"/>
      </w:pPr>
      <w:r>
        <w:rPr>
          <w:color w:val="0B2350"/>
        </w:rPr>
        <w:t>10. Incidentes de seguridad</w:t>
      </w:r>
    </w:p>
    <w:p>
      <w:pPr>
        <w:pStyle w:val="ListNumber"/>
      </w:pPr>
      <w:r>
        <w:t xml:space="preserve">BigCode avisa al Colegio </w:t>
      </w:r>
      <w:r>
        <w:rPr>
          <w:b/>
        </w:rPr>
        <w:t>sin dilación y a más tardar dentro de 72 horas [a definir]</w:t>
      </w:r>
      <w:r>
        <w:t xml:space="preserve"> desde que detecta un incidente que afecte sus datos, o desde que un subencargado se lo notifica (Groq se compromete a avisar dentro de 72 horas), con lo que se sepa: qué pasó, qué datos, cuántas personas, qué se hizo y qué recomienda.</w:t>
      </w:r>
    </w:p>
    <w:p>
      <w:pPr>
        <w:pStyle w:val="ListNumber"/>
      </w:pPr>
      <w:r>
        <w:t>BigCode informa a la Agencia de Protección de Datos Personales en los plazos y el formato que fije la Agencia, en coordinación con el Colegio.</w:t>
      </w:r>
    </w:p>
    <w:p>
      <w:pPr>
        <w:pStyle w:val="ListNumber"/>
      </w:pPr>
      <w:r>
        <w:t>El Colegio decide cómo avisar a los titulares; BigCode lo apoya con el texto.</w:t>
      </w:r>
    </w:p>
    <w:p>
      <w:pPr>
        <w:pStyle w:val="ListNumber"/>
      </w:pPr>
      <w:r>
        <w:t xml:space="preserve">El procedimiento está en </w:t>
      </w:r>
      <w:r>
        <w:rPr>
          <w:rFonts w:ascii="Consolas" w:hAnsi="Consolas"/>
        </w:rPr>
        <w:t>PROCEDIMIENTO-DE-INCIDENTES.md</w:t>
      </w:r>
      <w:r>
        <w:t>.</w:t>
      </w:r>
    </w:p>
    <w:p>
      <w:pPr>
        <w:pStyle w:val="Heading2"/>
      </w:pPr>
      <w:r>
        <w:rPr>
          <w:color w:val="0B2350"/>
        </w:rPr>
        <w:t>11. Colaboración y auditoría</w:t>
      </w:r>
    </w:p>
    <w:p>
      <w:pPr>
        <w:pStyle w:val="ListNumber"/>
      </w:pPr>
      <w:r>
        <w:t>BigCode colabora con la evaluación de impacto del Colegio y le entrega la suya (</w:t>
      </w:r>
      <w:r>
        <w:rPr>
          <w:rFonts w:ascii="Consolas" w:hAnsi="Consolas"/>
        </w:rPr>
        <w:t>EVALUACION-DE-IMPACTO.md</w:t>
      </w:r>
      <w:r>
        <w:t>).</w:t>
      </w:r>
    </w:p>
    <w:p>
      <w:pPr>
        <w:pStyle w:val="ListNumber"/>
      </w:pPr>
      <w:r>
        <w:t>El Colegio puede auditar el cumplimiento una vez al año, con 30 días de aviso, directamente o con un tercero con confidencialidad. Primero se ofrece el informe de auditoría vigente de BigCode.</w:t>
      </w:r>
    </w:p>
    <w:p>
      <w:pPr>
        <w:pStyle w:val="ListNumber"/>
      </w:pPr>
      <w:r>
        <w:t>La bitácora de accesos de sus casos está a disposición del Colegio en Protocola.</w:t>
      </w:r>
    </w:p>
    <w:p>
      <w:pPr>
        <w:pStyle w:val="Heading2"/>
      </w:pPr>
      <w:r>
        <w:rPr>
          <w:color w:val="0B2350"/>
        </w:rPr>
        <w:t>12. Término del servicio</w:t>
      </w:r>
    </w:p>
    <w:p>
      <w:pPr>
        <w:pStyle w:val="ListNumber"/>
      </w:pPr>
      <w:r>
        <w:t xml:space="preserve">Al terminar, el Colegio tiene </w:t>
      </w:r>
      <w:r>
        <w:rPr>
          <w:b/>
        </w:rPr>
        <w:t>30 días corridos [a definir]</w:t>
      </w:r>
      <w:r>
        <w:t xml:space="preserve"> para descargar sus expedientes en PDF y los datos de las personas que necesite.</w:t>
      </w:r>
    </w:p>
    <w:p>
      <w:pPr>
        <w:pStyle w:val="ListNumber"/>
      </w:pPr>
      <w:r>
        <w:t xml:space="preserve">Vencido ese plazo, BigCode elimina los datos del Colegio de la base de producción dentro de </w:t>
      </w:r>
      <w:r>
        <w:rPr>
          <w:b/>
        </w:rPr>
        <w:t>30 días corridos [a definir]</w:t>
      </w:r>
      <w:r>
        <w:t xml:space="preserve"> y entrega un certificado de eliminación.</w:t>
      </w:r>
    </w:p>
    <w:p>
      <w:pPr>
        <w:pStyle w:val="ListNumber"/>
      </w:pPr>
      <w:r>
        <w:t xml:space="preserve">Los respaldos cifrados que los contengan se eliminan con la rotación normal de respaldos, en un máximo de </w:t>
      </w:r>
      <w:r>
        <w:rPr>
          <w:b/>
        </w:rPr>
        <w:t>[a definir] meses</w:t>
      </w:r>
      <w:r>
        <w:t>, y no se restauran salvo orden del Colegio.</w:t>
      </w:r>
    </w:p>
    <w:p>
      <w:pPr>
        <w:pStyle w:val="ListNumber"/>
      </w:pPr>
      <w:r>
        <w:t>Se conserva solo lo que la ley obligue, informándolo al Colegio.</w:t>
      </w:r>
    </w:p>
    <w:p>
      <w:pPr>
        <w:pStyle w:val="Heading2"/>
      </w:pPr>
      <w:r>
        <w:rPr>
          <w:color w:val="0B2350"/>
        </w:rPr>
        <w:t>13. Delegados</w:t>
      </w:r>
    </w:p>
    <w:p>
      <w:pPr>
        <w:pStyle w:val="ListBullet"/>
      </w:pPr>
      <w:r>
        <w:rPr>
          <w:b/>
        </w:rPr>
        <w:t>BigCode:</w:t>
      </w:r>
      <w:r>
        <w:t xml:space="preserve"> [nombre], [correo], designado según </w:t>
      </w:r>
      <w:r>
        <w:rPr>
          <w:rFonts w:ascii="Consolas" w:hAnsi="Consolas"/>
        </w:rPr>
        <w:t>DESIGNACION-DELEGADO.md</w:t>
      </w:r>
      <w:r>
        <w:t>.</w:t>
      </w:r>
    </w:p>
    <w:p>
      <w:pPr>
        <w:pStyle w:val="ListBullet"/>
      </w:pPr>
      <w:r>
        <w:rPr>
          <w:b/>
        </w:rPr>
        <w:t>Colegio:</w:t>
      </w:r>
      <w:r>
        <w:t xml:space="preserve"> el que el Colegio registre en la Configuración de Protocola. Aparece en el canal de denuncias y en las respuestas a los titulares.</w:t>
      </w:r>
    </w:p>
    <w:p>
      <w:pPr>
        <w:pStyle w:val="Heading2"/>
      </w:pPr>
      <w:r>
        <w:rPr>
          <w:color w:val="0B2350"/>
        </w:rPr>
        <w:t>14. Responsabilidad, vigencia y ley aplicable</w:t>
      </w:r>
    </w:p>
    <w:p>
      <w:r>
        <w:rPr>
          <w:b/>
        </w:rPr>
        <w:t>[A definir por el abogado:]</w:t>
      </w:r>
      <w:r>
        <w:t xml:space="preserve"> límite de responsabilidad, vigencia igual a la del contrato de servicio, ley chilena y tribunales de Santiago.</w:t>
      </w:r>
    </w:p>
    <w:p>
      <w:r>
        <w:t>---</w:t>
      </w:r>
    </w:p>
    <w:p>
      <w:pPr>
        <w:pStyle w:val="Heading2"/>
      </w:pPr>
      <w:r>
        <w:rPr>
          <w:color w:val="0B2350"/>
        </w:rPr>
        <w:t>Anexo A · Medidas de seguridad</w:t>
      </w:r>
    </w:p>
    <w:tbl>
      <w:tblPr>
        <w:tblStyle w:val="TableGrid"/>
        <w:tblW w:type="auto" w:w="0"/>
        <w:tblLook w:firstColumn="1" w:firstRow="1" w:lastColumn="0" w:lastRow="0" w:noHBand="0" w:noVBand="1" w:val="04A0"/>
      </w:tblPr>
      <w:tblGrid>
        <w:gridCol w:w="4320"/>
        <w:gridCol w:w="4320"/>
      </w:tblGrid>
      <w:tr>
        <w:tc>
          <w:tcPr>
            <w:tcW w:type="dxa" w:w="4320"/>
          </w:tcPr>
          <w:p>
            <w:r/>
            <w:r>
              <w:rPr>
                <w:b/>
                <w:sz w:val="17"/>
              </w:rPr>
              <w:t>Ámbito</w:t>
            </w:r>
          </w:p>
        </w:tc>
        <w:tc>
          <w:tcPr>
            <w:tcW w:type="dxa" w:w="4320"/>
          </w:tcPr>
          <w:p>
            <w:r/>
            <w:r>
              <w:rPr>
                <w:b/>
                <w:sz w:val="17"/>
              </w:rPr>
              <w:t>Medida</w:t>
            </w:r>
          </w:p>
        </w:tc>
      </w:tr>
      <w:tr>
        <w:tc>
          <w:tcPr>
            <w:tcW w:type="dxa" w:w="4320"/>
          </w:tcPr>
          <w:p>
            <w:r>
              <w:rPr>
                <w:sz w:val="17"/>
              </w:rPr>
            </w:r>
            <w:r>
              <w:rPr>
                <w:sz w:val="17"/>
              </w:rPr>
              <w:t>Acceso</w:t>
            </w:r>
          </w:p>
        </w:tc>
        <w:tc>
          <w:tcPr>
            <w:tcW w:type="dxa" w:w="4320"/>
          </w:tcPr>
          <w:p>
            <w:r>
              <w:rPr>
                <w:sz w:val="17"/>
              </w:rPr>
            </w:r>
            <w:r>
              <w:rPr>
                <w:sz w:val="17"/>
              </w:rPr>
              <w:t>Cada persona ve solo su colegio; dentro, lo que permite su rol. Casos reservados completos solo para coordinación y asignados</w:t>
            </w:r>
          </w:p>
        </w:tc>
      </w:tr>
      <w:tr>
        <w:tc>
          <w:tcPr>
            <w:tcW w:type="dxa" w:w="4320"/>
          </w:tcPr>
          <w:p>
            <w:r>
              <w:rPr>
                <w:sz w:val="17"/>
              </w:rPr>
            </w:r>
            <w:r>
              <w:rPr>
                <w:sz w:val="17"/>
              </w:rPr>
              <w:t>Autenticación</w:t>
            </w:r>
          </w:p>
        </w:tc>
        <w:tc>
          <w:tcPr>
            <w:tcW w:type="dxa" w:w="4320"/>
          </w:tcPr>
          <w:p>
            <w:r>
              <w:rPr>
                <w:sz w:val="17"/>
              </w:rPr>
            </w:r>
            <w:r>
              <w:rPr>
                <w:sz w:val="17"/>
              </w:rPr>
              <w:t>Contraseña de al menos 12 caracteres guardada con bcrypt, verificación en dos pasos obligatoria para todos, límite de intentos</w:t>
            </w:r>
          </w:p>
        </w:tc>
      </w:tr>
      <w:tr>
        <w:tc>
          <w:tcPr>
            <w:tcW w:type="dxa" w:w="4320"/>
          </w:tcPr>
          <w:p>
            <w:r>
              <w:rPr>
                <w:sz w:val="17"/>
              </w:rPr>
            </w:r>
            <w:r>
              <w:rPr>
                <w:sz w:val="17"/>
              </w:rPr>
              <w:t>Sesión</w:t>
            </w:r>
          </w:p>
        </w:tc>
        <w:tc>
          <w:tcPr>
            <w:tcW w:type="dxa" w:w="4320"/>
          </w:tcPr>
          <w:p>
            <w:r>
              <w:rPr>
                <w:sz w:val="17"/>
              </w:rPr>
            </w:r>
            <w:r>
              <w:rPr>
                <w:sz w:val="17"/>
              </w:rPr>
              <w:t>Se cierra tras 30 minutos sin actividad, con aviso a los 28, y al cerrar el navegador; el servidor también la rechaza</w:t>
            </w:r>
          </w:p>
        </w:tc>
      </w:tr>
      <w:tr>
        <w:tc>
          <w:tcPr>
            <w:tcW w:type="dxa" w:w="4320"/>
          </w:tcPr>
          <w:p>
            <w:r>
              <w:rPr>
                <w:sz w:val="17"/>
              </w:rPr>
            </w:r>
            <w:r>
              <w:rPr>
                <w:sz w:val="17"/>
              </w:rPr>
              <w:t>Trazabilidad</w:t>
            </w:r>
          </w:p>
        </w:tc>
        <w:tc>
          <w:tcPr>
            <w:tcW w:type="dxa" w:w="4320"/>
          </w:tcPr>
          <w:p>
            <w:r>
              <w:rPr>
                <w:sz w:val="17"/>
              </w:rPr>
            </w:r>
            <w:r>
              <w:rPr>
                <w:sz w:val="17"/>
              </w:rPr>
              <w:t>Bitácora de consultas, descargas, exportaciones e intentos rechazados, que nadie puede modificar ni borrar</w:t>
            </w:r>
          </w:p>
        </w:tc>
      </w:tr>
      <w:tr>
        <w:tc>
          <w:tcPr>
            <w:tcW w:type="dxa" w:w="4320"/>
          </w:tcPr>
          <w:p>
            <w:r>
              <w:rPr>
                <w:sz w:val="17"/>
              </w:rPr>
            </w:r>
            <w:r>
              <w:rPr>
                <w:sz w:val="17"/>
              </w:rPr>
              <w:t>Integridad</w:t>
            </w:r>
          </w:p>
        </w:tc>
        <w:tc>
          <w:tcPr>
            <w:tcW w:type="dxa" w:w="4320"/>
          </w:tcPr>
          <w:p>
            <w:r>
              <w:rPr>
                <w:sz w:val="17"/>
              </w:rPr>
            </w:r>
            <w:r>
              <w:rPr>
                <w:sz w:val="17"/>
              </w:rPr>
              <w:t>Actas firmadas y evidencias con huella sha256, protegidas contra modificación</w:t>
            </w:r>
          </w:p>
        </w:tc>
      </w:tr>
      <w:tr>
        <w:tc>
          <w:tcPr>
            <w:tcW w:type="dxa" w:w="4320"/>
          </w:tcPr>
          <w:p>
            <w:r>
              <w:rPr>
                <w:sz w:val="17"/>
              </w:rPr>
            </w:r>
            <w:r>
              <w:rPr>
                <w:sz w:val="17"/>
              </w:rPr>
              <w:t>Cifrado</w:t>
            </w:r>
          </w:p>
        </w:tc>
        <w:tc>
          <w:tcPr>
            <w:tcW w:type="dxa" w:w="4320"/>
          </w:tcPr>
          <w:p>
            <w:r>
              <w:rPr>
                <w:sz w:val="17"/>
              </w:rPr>
            </w:r>
            <w:r>
              <w:rPr>
                <w:sz w:val="17"/>
              </w:rPr>
              <w:t xml:space="preserve">HTTPS en tránsito; respaldos cifrados con una llave que no está en el servidor; base de datos cifrada en reposo </w:t>
            </w:r>
            <w:r>
              <w:rPr>
                <w:b/>
                <w:sz w:val="17"/>
              </w:rPr>
              <w:t>[al entrar en producción]</w:t>
            </w:r>
          </w:p>
        </w:tc>
      </w:tr>
      <w:tr>
        <w:tc>
          <w:tcPr>
            <w:tcW w:type="dxa" w:w="4320"/>
          </w:tcPr>
          <w:p>
            <w:r>
              <w:rPr>
                <w:sz w:val="17"/>
              </w:rPr>
            </w:r>
            <w:r>
              <w:rPr>
                <w:sz w:val="17"/>
              </w:rPr>
              <w:t>Minimización</w:t>
            </w:r>
          </w:p>
        </w:tc>
        <w:tc>
          <w:tcPr>
            <w:tcW w:type="dxa" w:w="4320"/>
          </w:tcPr>
          <w:p>
            <w:r>
              <w:rPr>
                <w:sz w:val="17"/>
              </w:rPr>
            </w:r>
            <w:r>
              <w:rPr>
                <w:sz w:val="17"/>
              </w:rPr>
              <w:t>Sin nómina de estudiantes, RUT opcional, canal sin IP, correos sin el contenido de las notificaciones</w:t>
            </w:r>
          </w:p>
        </w:tc>
      </w:tr>
      <w:tr>
        <w:tc>
          <w:tcPr>
            <w:tcW w:type="dxa" w:w="4320"/>
          </w:tcPr>
          <w:p>
            <w:r>
              <w:rPr>
                <w:sz w:val="17"/>
              </w:rPr>
            </w:r>
            <w:r>
              <w:rPr>
                <w:sz w:val="17"/>
              </w:rPr>
              <w:t>IA</w:t>
            </w:r>
          </w:p>
        </w:tc>
        <w:tc>
          <w:tcPr>
            <w:tcW w:type="dxa" w:w="4320"/>
          </w:tcPr>
          <w:p>
            <w:r>
              <w:rPr>
                <w:sz w:val="17"/>
              </w:rPr>
            </w:r>
            <w:r>
              <w:rPr>
                <w:sz w:val="17"/>
              </w:rPr>
              <w:t>Solo texto seudonimizado, con vista previa; apagada hasta que la dirección del colegio la autoriza</w:t>
            </w:r>
          </w:p>
        </w:tc>
      </w:tr>
      <w:tr>
        <w:tc>
          <w:tcPr>
            <w:tcW w:type="dxa" w:w="4320"/>
          </w:tcPr>
          <w:p>
            <w:r>
              <w:rPr>
                <w:sz w:val="17"/>
              </w:rPr>
            </w:r>
            <w:r>
              <w:rPr>
                <w:sz w:val="17"/>
              </w:rPr>
              <w:t>Conservación</w:t>
            </w:r>
          </w:p>
        </w:tc>
        <w:tc>
          <w:tcPr>
            <w:tcW w:type="dxa" w:w="4320"/>
          </w:tcPr>
          <w:p>
            <w:r>
              <w:rPr>
                <w:sz w:val="17"/>
              </w:rPr>
            </w:r>
            <w:r>
              <w:rPr>
                <w:sz w:val="17"/>
              </w:rPr>
              <w:t>Purga y anonimización diaria automática según la cláusula 9</w:t>
            </w:r>
          </w:p>
        </w:tc>
      </w:tr>
      <w:tr>
        <w:tc>
          <w:tcPr>
            <w:tcW w:type="dxa" w:w="4320"/>
          </w:tcPr>
          <w:p>
            <w:r>
              <w:rPr>
                <w:sz w:val="17"/>
              </w:rPr>
            </w:r>
            <w:r>
              <w:rPr>
                <w:sz w:val="17"/>
              </w:rPr>
              <w:t>Respaldo</w:t>
            </w:r>
          </w:p>
        </w:tc>
        <w:tc>
          <w:tcPr>
            <w:tcW w:type="dxa" w:w="4320"/>
          </w:tcPr>
          <w:p>
            <w:r>
              <w:rPr>
                <w:sz w:val="17"/>
              </w:rPr>
            </w:r>
            <w:r>
              <w:rPr>
                <w:sz w:val="17"/>
              </w:rPr>
              <w:t>Mensual, cifrado, con prueba de restauración</w:t>
            </w:r>
          </w:p>
        </w:tc>
      </w:tr>
      <w:tr>
        <w:tc>
          <w:tcPr>
            <w:tcW w:type="dxa" w:w="4320"/>
          </w:tcPr>
          <w:p>
            <w:r>
              <w:rPr>
                <w:sz w:val="17"/>
              </w:rPr>
            </w:r>
            <w:r>
              <w:rPr>
                <w:sz w:val="17"/>
              </w:rPr>
              <w:t>Cabeceras</w:t>
            </w:r>
          </w:p>
        </w:tc>
        <w:tc>
          <w:tcPr>
            <w:tcW w:type="dxa" w:w="4320"/>
          </w:tcPr>
          <w:p>
            <w:r>
              <w:rPr>
                <w:sz w:val="17"/>
              </w:rPr>
            </w:r>
            <w:r>
              <w:rPr>
                <w:sz w:val="17"/>
              </w:rPr>
              <w:t>Política de contenido restrictiva, micrófono solo del propio sitio, sin registro de las visitas al canal</w:t>
            </w:r>
          </w:p>
        </w:tc>
      </w:tr>
    </w:tbl>
    <w:p/>
    <w:p>
      <w:pPr>
        <w:pStyle w:val="Heading2"/>
      </w:pPr>
      <w:r>
        <w:rPr>
          <w:color w:val="0B2350"/>
        </w:rPr>
        <w:t>Anexo B · Subencargados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b/>
                <w:sz w:val="17"/>
              </w:rPr>
              <w:t>Subencargado</w:t>
            </w:r>
          </w:p>
        </w:tc>
        <w:tc>
          <w:tcPr>
            <w:tcW w:type="dxa" w:w="1728"/>
          </w:tcPr>
          <w:p>
            <w:r/>
            <w:r>
              <w:rPr>
                <w:b/>
                <w:sz w:val="17"/>
              </w:rPr>
              <w:t>Servicio</w:t>
            </w:r>
          </w:p>
        </w:tc>
        <w:tc>
          <w:tcPr>
            <w:tcW w:type="dxa" w:w="1728"/>
          </w:tcPr>
          <w:p>
            <w:r/>
            <w:r>
              <w:rPr>
                <w:b/>
                <w:sz w:val="17"/>
              </w:rPr>
              <w:t>Datos que recibe</w:t>
            </w:r>
          </w:p>
        </w:tc>
        <w:tc>
          <w:tcPr>
            <w:tcW w:type="dxa" w:w="1728"/>
          </w:tcPr>
          <w:p>
            <w:r/>
            <w:r>
              <w:rPr>
                <w:b/>
                <w:sz w:val="17"/>
              </w:rPr>
              <w:t>País</w:t>
            </w:r>
          </w:p>
        </w:tc>
        <w:tc>
          <w:tcPr>
            <w:tcW w:type="dxa" w:w="1728"/>
          </w:tcPr>
          <w:p>
            <w:r/>
            <w:r>
              <w:rPr>
                <w:b/>
                <w:sz w:val="17"/>
              </w:rPr>
              <w:t>Condiciones</w:t>
            </w:r>
          </w:p>
        </w:tc>
      </w:tr>
      <w:tr>
        <w:tc>
          <w:tcPr>
            <w:tcW w:type="dxa" w:w="1728"/>
          </w:tcPr>
          <w:p>
            <w:r>
              <w:rPr>
                <w:sz w:val="17"/>
              </w:rPr>
            </w:r>
            <w:r>
              <w:rPr>
                <w:sz w:val="17"/>
              </w:rPr>
              <w:t>Hostinger International Ltd.</w:t>
            </w:r>
          </w:p>
        </w:tc>
        <w:tc>
          <w:tcPr>
            <w:tcW w:type="dxa" w:w="1728"/>
          </w:tcPr>
          <w:p>
            <w:r>
              <w:rPr>
                <w:sz w:val="17"/>
              </w:rPr>
            </w:r>
            <w:r>
              <w:rPr>
                <w:sz w:val="17"/>
              </w:rPr>
              <w:t xml:space="preserve">Servidor dedicado de producción </w:t>
            </w:r>
            <w:r>
              <w:rPr>
                <w:b/>
                <w:sz w:val="17"/>
              </w:rPr>
              <w:t>[al entrar en producción]</w:t>
            </w:r>
          </w:p>
        </w:tc>
        <w:tc>
          <w:tcPr>
            <w:tcW w:type="dxa" w:w="1728"/>
          </w:tcPr>
          <w:p>
            <w:r>
              <w:rPr>
                <w:sz w:val="17"/>
              </w:rPr>
            </w:r>
            <w:r>
              <w:rPr>
                <w:sz w:val="17"/>
              </w:rPr>
              <w:t>Todos los datos del servicio, cifrados en reposo</w:t>
            </w:r>
          </w:p>
        </w:tc>
        <w:tc>
          <w:tcPr>
            <w:tcW w:type="dxa" w:w="1728"/>
          </w:tcPr>
          <w:p>
            <w:r>
              <w:rPr>
                <w:sz w:val="17"/>
              </w:rPr>
            </w:r>
            <w:r>
              <w:rPr>
                <w:sz w:val="17"/>
              </w:rPr>
              <w:t>Brasil (São Paulo)</w:t>
            </w:r>
          </w:p>
        </w:tc>
        <w:tc>
          <w:tcPr>
            <w:tcW w:type="dxa" w:w="1728"/>
          </w:tcPr>
          <w:p>
            <w:r>
              <w:rPr>
                <w:sz w:val="17"/>
              </w:rPr>
            </w:r>
            <w:r>
              <w:rPr>
                <w:sz w:val="17"/>
              </w:rPr>
              <w:t>Servidor exclusivo de Protocola; el proveedor no accede al contenido</w:t>
            </w:r>
          </w:p>
        </w:tc>
      </w:tr>
      <w:tr>
        <w:tc>
          <w:tcPr>
            <w:tcW w:type="dxa" w:w="1728"/>
          </w:tcPr>
          <w:p>
            <w:r>
              <w:rPr>
                <w:sz w:val="17"/>
              </w:rPr>
            </w:r>
            <w:r>
              <w:rPr>
                <w:sz w:val="17"/>
              </w:rPr>
              <w:t>Groq, Inc.</w:t>
            </w:r>
          </w:p>
        </w:tc>
        <w:tc>
          <w:tcPr>
            <w:tcW w:type="dxa" w:w="1728"/>
          </w:tcPr>
          <w:p>
            <w:r>
              <w:rPr>
                <w:sz w:val="17"/>
              </w:rPr>
            </w:r>
            <w:r>
              <w:rPr>
                <w:sz w:val="17"/>
              </w:rPr>
              <w:t>Redacción de actas con IA</w:t>
            </w:r>
          </w:p>
        </w:tc>
        <w:tc>
          <w:tcPr>
            <w:tcW w:type="dxa" w:w="1728"/>
          </w:tcPr>
          <w:p>
            <w:r>
              <w:rPr>
                <w:sz w:val="17"/>
              </w:rPr>
            </w:r>
            <w:r>
              <w:rPr>
                <w:sz w:val="17"/>
              </w:rPr>
              <w:t>Solo texto seudonimizado de las entrevistas</w:t>
            </w:r>
          </w:p>
        </w:tc>
        <w:tc>
          <w:tcPr>
            <w:tcW w:type="dxa" w:w="1728"/>
          </w:tcPr>
          <w:p>
            <w:r>
              <w:rPr>
                <w:sz w:val="17"/>
              </w:rPr>
            </w:r>
            <w:r>
              <w:rPr>
                <w:sz w:val="17"/>
              </w:rPr>
              <w:t>Estados Unidos</w:t>
            </w:r>
          </w:p>
        </w:tc>
        <w:tc>
          <w:tcPr>
            <w:tcW w:type="dxa" w:w="1728"/>
          </w:tcPr>
          <w:p>
            <w:r>
              <w:rPr>
                <w:sz w:val="17"/>
              </w:rPr>
            </w:r>
            <w:r>
              <w:rPr>
                <w:sz w:val="17"/>
              </w:rPr>
              <w:t xml:space="preserve">Solo con autorización del Colegio; sin entrenamiento de modelos; retención cero </w:t>
            </w:r>
            <w:r>
              <w:rPr>
                <w:b/>
                <w:sz w:val="17"/>
              </w:rPr>
              <w:t>[al entrar en producción]</w:t>
            </w:r>
            <w:r>
              <w:rPr>
                <w:sz w:val="17"/>
              </w:rPr>
              <w:t xml:space="preserve">: hasta entonces Groq puede registrar el texto hasta 30 días. Ver </w:t>
            </w:r>
            <w:r>
              <w:rPr>
                <w:rFonts w:ascii="Consolas" w:hAnsi="Consolas"/>
                <w:sz w:val="17"/>
              </w:rPr>
              <w:t>INFORME-GROQ.md</w:t>
            </w:r>
          </w:p>
        </w:tc>
      </w:tr>
      <w:tr>
        <w:tc>
          <w:tcPr>
            <w:tcW w:type="dxa" w:w="1728"/>
          </w:tcPr>
          <w:p>
            <w:r>
              <w:rPr>
                <w:sz w:val="17"/>
              </w:rPr>
            </w:r>
            <w:r>
              <w:rPr>
                <w:sz w:val="17"/>
              </w:rPr>
              <w:t>Google LLC</w:t>
            </w:r>
          </w:p>
        </w:tc>
        <w:tc>
          <w:tcPr>
            <w:tcW w:type="dxa" w:w="1728"/>
          </w:tcPr>
          <w:p>
            <w:r>
              <w:rPr>
                <w:sz w:val="17"/>
              </w:rPr>
            </w:r>
            <w:r>
              <w:rPr>
                <w:sz w:val="17"/>
              </w:rPr>
              <w:t>Almacenamiento de respaldos</w:t>
            </w:r>
          </w:p>
        </w:tc>
        <w:tc>
          <w:tcPr>
            <w:tcW w:type="dxa" w:w="1728"/>
          </w:tcPr>
          <w:p>
            <w:r>
              <w:rPr>
                <w:sz w:val="17"/>
              </w:rPr>
            </w:r>
            <w:r>
              <w:rPr>
                <w:sz w:val="17"/>
              </w:rPr>
              <w:t>Respaldos cifrados; Google no tiene la llave</w:t>
            </w:r>
          </w:p>
        </w:tc>
        <w:tc>
          <w:tcPr>
            <w:tcW w:type="dxa" w:w="1728"/>
          </w:tcPr>
          <w:p>
            <w:r>
              <w:rPr>
                <w:sz w:val="17"/>
              </w:rPr>
            </w:r>
            <w:r>
              <w:rPr>
                <w:sz w:val="17"/>
              </w:rPr>
              <w:t>Estados Unidos y otros</w:t>
            </w:r>
          </w:p>
        </w:tc>
        <w:tc>
          <w:tcPr>
            <w:tcW w:type="dxa" w:w="1728"/>
          </w:tcPr>
          <w:p>
            <w:r>
              <w:rPr>
                <w:sz w:val="17"/>
              </w:rPr>
            </w:r>
            <w:r>
              <w:rPr>
                <w:sz w:val="17"/>
              </w:rPr>
              <w:t>Solo archivos cifrados antes de subirlos</w:t>
            </w:r>
          </w:p>
        </w:tc>
      </w:tr>
      <w:tr>
        <w:tc>
          <w:tcPr>
            <w:tcW w:type="dxa" w:w="1728"/>
          </w:tcPr>
          <w:p>
            <w:r>
              <w:rPr>
                <w:sz w:val="17"/>
              </w:rPr>
            </w:r>
            <w:r>
              <w:rPr>
                <w:sz w:val="17"/>
              </w:rPr>
              <w:t>Twilio Inc.</w:t>
            </w:r>
          </w:p>
        </w:tc>
        <w:tc>
          <w:tcPr>
            <w:tcW w:type="dxa" w:w="1728"/>
          </w:tcPr>
          <w:p>
            <w:r>
              <w:rPr>
                <w:sz w:val="17"/>
              </w:rPr>
            </w:r>
            <w:r>
              <w:rPr>
                <w:sz w:val="17"/>
              </w:rPr>
              <w:t>SMS de una notificación (cuando se active)</w:t>
            </w:r>
          </w:p>
        </w:tc>
        <w:tc>
          <w:tcPr>
            <w:tcW w:type="dxa" w:w="1728"/>
          </w:tcPr>
          <w:p>
            <w:r>
              <w:rPr>
                <w:sz w:val="17"/>
              </w:rPr>
            </w:r>
            <w:r>
              <w:rPr>
                <w:sz w:val="17"/>
              </w:rPr>
              <w:t>Celular de la persona notificada y un mensaje con el enlace de acuse, sin contenido del caso</w:t>
            </w:r>
          </w:p>
        </w:tc>
        <w:tc>
          <w:tcPr>
            <w:tcW w:type="dxa" w:w="1728"/>
          </w:tcPr>
          <w:p>
            <w:r>
              <w:rPr>
                <w:sz w:val="17"/>
              </w:rPr>
            </w:r>
            <w:r>
              <w:rPr>
                <w:sz w:val="17"/>
              </w:rPr>
              <w:t>Estados Unidos</w:t>
            </w:r>
          </w:p>
        </w:tc>
        <w:tc>
          <w:tcPr>
            <w:tcW w:type="dxa" w:w="1728"/>
          </w:tcPr>
          <w:p>
            <w:r>
              <w:rPr>
                <w:sz w:val="17"/>
              </w:rPr>
            </w:r>
            <w:r>
              <w:rPr>
                <w:sz w:val="17"/>
              </w:rPr>
              <w:t>Solo si el Colegio registra el celular; el mensaje no lleva datos del caso</w:t>
            </w:r>
          </w:p>
        </w:tc>
      </w:tr>
    </w:tbl>
    <w:p/>
    <w:p>
      <w:r>
        <w:rPr>
          <w:b/>
        </w:rPr>
        <w:t>[A definir, al entrar en producción:]</w:t>
      </w:r>
      <w:r>
        <w:t xml:space="preserve"> proveedor de correo transaccional para </w:t>
      </w:r>
      <w:r>
        <w:rPr>
          <w:rFonts w:ascii="Consolas" w:hAnsi="Consolas"/>
        </w:rPr>
        <w:t>protocola.cl</w:t>
      </w:r>
      <w:r>
        <w:t>. Recibirá el destinatario y el texto de cada aviso (nunca el contenido del caso, solo un enlace). Mientras Protocola está en etapa de demostración, con datos ficticios, el correo sale del servidor de correo de BigCode y solo hacia direcciones de BigCode.</w:t>
      </w:r>
    </w:p>
    <w:p>
      <w:pPr>
        <w:pStyle w:val="Heading2"/>
      </w:pPr>
      <w:r>
        <w:rPr>
          <w:color w:val="0B2350"/>
        </w:rPr>
        <w:t>Anexo C · Transferencias internacionales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sz w:val="17"/>
              </w:rPr>
              <w:t>Destino</w:t>
            </w:r>
          </w:p>
        </w:tc>
        <w:tc>
          <w:tcPr>
            <w:tcW w:type="dxa" w:w="2880"/>
          </w:tcPr>
          <w:p>
            <w:r/>
            <w:r>
              <w:rPr>
                <w:b/>
                <w:sz w:val="17"/>
              </w:rPr>
              <w:t>Motivo</w:t>
            </w:r>
          </w:p>
        </w:tc>
        <w:tc>
          <w:tcPr>
            <w:tcW w:type="dxa" w:w="2880"/>
          </w:tcPr>
          <w:p>
            <w:r/>
            <w:r>
              <w:rPr>
                <w:b/>
                <w:sz w:val="17"/>
              </w:rPr>
              <w:t>Garantías</w:t>
            </w:r>
          </w:p>
        </w:tc>
      </w:tr>
      <w:tr>
        <w:tc>
          <w:tcPr>
            <w:tcW w:type="dxa" w:w="2880"/>
          </w:tcPr>
          <w:p>
            <w:r>
              <w:rPr>
                <w:sz w:val="17"/>
              </w:rPr>
            </w:r>
            <w:r>
              <w:rPr>
                <w:sz w:val="17"/>
              </w:rPr>
              <w:t>Brasil</w:t>
            </w:r>
          </w:p>
        </w:tc>
        <w:tc>
          <w:tcPr>
            <w:tcW w:type="dxa" w:w="2880"/>
          </w:tcPr>
          <w:p>
            <w:r>
              <w:rPr>
                <w:sz w:val="17"/>
              </w:rPr>
            </w:r>
            <w:r>
              <w:rPr>
                <w:sz w:val="17"/>
              </w:rPr>
              <w:t>Alojamiento de producción</w:t>
            </w:r>
          </w:p>
        </w:tc>
        <w:tc>
          <w:tcPr>
            <w:tcW w:type="dxa" w:w="2880"/>
          </w:tcPr>
          <w:p>
            <w:r>
              <w:rPr>
                <w:sz w:val="17"/>
              </w:rPr>
            </w:r>
            <w:r>
              <w:rPr>
                <w:sz w:val="17"/>
              </w:rPr>
              <w:t>Brasil tiene ley general de protección de datos (LGPD); contrato con el proveedor y cifrado en reposo</w:t>
            </w:r>
          </w:p>
        </w:tc>
      </w:tr>
      <w:tr>
        <w:tc>
          <w:tcPr>
            <w:tcW w:type="dxa" w:w="2880"/>
          </w:tcPr>
          <w:p>
            <w:r>
              <w:rPr>
                <w:sz w:val="17"/>
              </w:rPr>
            </w:r>
            <w:r>
              <w:rPr>
                <w:sz w:val="17"/>
              </w:rPr>
              <w:t>Estados Unidos (Groq)</w:t>
            </w:r>
          </w:p>
        </w:tc>
        <w:tc>
          <w:tcPr>
            <w:tcW w:type="dxa" w:w="2880"/>
          </w:tcPr>
          <w:p>
            <w:r>
              <w:rPr>
                <w:sz w:val="17"/>
              </w:rPr>
            </w:r>
            <w:r>
              <w:rPr>
                <w:sz w:val="17"/>
              </w:rPr>
              <w:t>Redacción con IA</w:t>
            </w:r>
          </w:p>
        </w:tc>
        <w:tc>
          <w:tcPr>
            <w:tcW w:type="dxa" w:w="2880"/>
          </w:tcPr>
          <w:p>
            <w:r>
              <w:rPr>
                <w:sz w:val="17"/>
              </w:rPr>
            </w:r>
            <w:r>
              <w:rPr>
                <w:sz w:val="17"/>
              </w:rPr>
              <w:t xml:space="preserve">Texto seudonimizado; DPA de Groq; retención cero </w:t>
            </w:r>
            <w:r>
              <w:rPr>
                <w:b/>
                <w:sz w:val="17"/>
              </w:rPr>
              <w:t>[al entrar en producción]</w:t>
            </w:r>
            <w:r>
              <w:rPr>
                <w:sz w:val="17"/>
              </w:rPr>
              <w:t xml:space="preserve">. </w:t>
            </w:r>
            <w:r>
              <w:rPr>
                <w:b/>
                <w:sz w:val="17"/>
              </w:rPr>
              <w:t>[A definir:]</w:t>
            </w:r>
            <w:r>
              <w:rPr>
                <w:sz w:val="17"/>
              </w:rPr>
              <w:t xml:space="preserve"> mecanismo contractual válido para Chile</w:t>
            </w:r>
          </w:p>
        </w:tc>
      </w:tr>
      <w:tr>
        <w:tc>
          <w:tcPr>
            <w:tcW w:type="dxa" w:w="2880"/>
          </w:tcPr>
          <w:p>
            <w:r>
              <w:rPr>
                <w:sz w:val="17"/>
              </w:rPr>
            </w:r>
            <w:r>
              <w:rPr>
                <w:sz w:val="17"/>
              </w:rPr>
              <w:t>Estados Unidos (Google)</w:t>
            </w:r>
          </w:p>
        </w:tc>
        <w:tc>
          <w:tcPr>
            <w:tcW w:type="dxa" w:w="2880"/>
          </w:tcPr>
          <w:p>
            <w:r>
              <w:rPr>
                <w:sz w:val="17"/>
              </w:rPr>
            </w:r>
            <w:r>
              <w:rPr>
                <w:sz w:val="17"/>
              </w:rPr>
              <w:t>Respaldos</w:t>
            </w:r>
          </w:p>
        </w:tc>
        <w:tc>
          <w:tcPr>
            <w:tcW w:type="dxa" w:w="2880"/>
          </w:tcPr>
          <w:p>
            <w:r>
              <w:rPr>
                <w:sz w:val="17"/>
              </w:rPr>
            </w:r>
            <w:r>
              <w:rPr>
                <w:sz w:val="17"/>
              </w:rPr>
              <w:t>Archivos cifrados; la llave queda en Chile, en poder de BigCode</w:t>
            </w:r>
          </w:p>
        </w:tc>
      </w:tr>
      <w:tr>
        <w:tc>
          <w:tcPr>
            <w:tcW w:type="dxa" w:w="2880"/>
          </w:tcPr>
          <w:p>
            <w:r>
              <w:rPr>
                <w:sz w:val="17"/>
              </w:rPr>
            </w:r>
            <w:r>
              <w:rPr>
                <w:sz w:val="17"/>
              </w:rPr>
              <w:t>Estados Unidos (Twilio)</w:t>
            </w:r>
          </w:p>
        </w:tc>
        <w:tc>
          <w:tcPr>
            <w:tcW w:type="dxa" w:w="2880"/>
          </w:tcPr>
          <w:p>
            <w:r>
              <w:rPr>
                <w:sz w:val="17"/>
              </w:rPr>
            </w:r>
            <w:r>
              <w:rPr>
                <w:sz w:val="17"/>
              </w:rPr>
              <w:t>SMS de una notificación</w:t>
            </w:r>
          </w:p>
        </w:tc>
        <w:tc>
          <w:tcPr>
            <w:tcW w:type="dxa" w:w="2880"/>
          </w:tcPr>
          <w:p>
            <w:r>
              <w:rPr>
                <w:sz w:val="17"/>
              </w:rPr>
            </w:r>
            <w:r>
              <w:rPr>
                <w:sz w:val="17"/>
              </w:rPr>
              <w:t xml:space="preserve">Solo celular y enlace de acuse. </w:t>
            </w:r>
            <w:r>
              <w:rPr>
                <w:b/>
                <w:sz w:val="17"/>
              </w:rPr>
              <w:t>[A definir:]</w:t>
            </w:r>
            <w:r>
              <w:rPr>
                <w:sz w:val="17"/>
              </w:rPr>
              <w:t xml:space="preserve"> mecanismo contractual válido para Chile</w:t>
            </w:r>
          </w:p>
        </w:tc>
      </w:tr>
    </w:tbl>
    <w:p/>
    <w:p>
      <w:pPr>
        <w:pStyle w:val="Heading2"/>
      </w:pPr>
      <w:r>
        <w:rPr>
          <w:color w:val="0B2350"/>
        </w:rPr>
        <w:t>Anexo D · Colegios cubiertos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sz w:val="17"/>
              </w:rPr>
              <w:t>RBD</w:t>
            </w:r>
          </w:p>
        </w:tc>
        <w:tc>
          <w:tcPr>
            <w:tcW w:type="dxa" w:w="2880"/>
          </w:tcPr>
          <w:p>
            <w:r/>
            <w:r>
              <w:rPr>
                <w:b/>
                <w:sz w:val="17"/>
              </w:rPr>
              <w:t>Colegio</w:t>
            </w:r>
          </w:p>
        </w:tc>
        <w:tc>
          <w:tcPr>
            <w:tcW w:type="dxa" w:w="2880"/>
          </w:tcPr>
          <w:p>
            <w:r/>
            <w:r>
              <w:rPr>
                <w:b/>
                <w:sz w:val="17"/>
              </w:rPr>
              <w:t>Comuna</w:t>
            </w:r>
          </w:p>
        </w:tc>
      </w:tr>
      <w:tr>
        <w:tc>
          <w:tcPr>
            <w:tcW w:type="dxa" w:w="2880"/>
          </w:tcPr>
          <w:p>
            <w:r>
              <w:rPr>
                <w:sz w:val="17"/>
              </w:rPr>
            </w:r>
            <w:r>
              <w:rPr>
                <w:sz w:val="17"/>
              </w:rPr>
              <w:t>[ ]</w:t>
            </w:r>
          </w:p>
        </w:tc>
        <w:tc>
          <w:tcPr>
            <w:tcW w:type="dxa" w:w="2880"/>
          </w:tcPr>
          <w:p>
            <w:r>
              <w:rPr>
                <w:sz w:val="17"/>
              </w:rPr>
            </w:r>
            <w:r>
              <w:rPr>
                <w:sz w:val="17"/>
              </w:rPr>
              <w:t>[ ]</w:t>
            </w:r>
          </w:p>
        </w:tc>
        <w:tc>
          <w:tcPr>
            <w:tcW w:type="dxa" w:w="2880"/>
          </w:tcPr>
          <w:p>
            <w:r>
              <w:rPr>
                <w:sz w:val="17"/>
              </w:rPr>
            </w:r>
            <w:r>
              <w:rPr>
                <w:sz w:val="17"/>
              </w:rPr>
              <w:t>[ ]</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